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  <w:b w:val="1"/>
          <w:bCs w:val="1"/>
        </w:rPr>
        <w:t xml:space="preserve">UNIVERSIDAD NACIONAL DE INGENIERÍA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Facultad de Ingeniería Ambiental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color w:val="990000"/>
          <w:sz w:val="20"/>
          <w:szCs w:val="20"/>
        </w:rPr>
        <w:t xml:space="preserve">Escuela Profesional de Higiene y Seguridad Industrial</w:t>
      </w:r>
    </w:p>
    <w:p>
      <w:pPr/>
      <w:r>
        <w:pict>
          <v:shape type="#_x0000_t75" stroked="f" style="width:43pt; height:54pt; margin-left:-24pt; margin-top:-48pt; position:absolute; mso-position-horizontal:absolute; mso-position-vertical:absolute; mso-position-horizontal-relative:char; mso-position-vertical-relative:line; z-index:-2147483647;">
            <v:imagedata r:id="rId7" o:title=""/>
          </v:shape>
        </w:pict>
      </w:r>
    </w:p>
    <w:p>
      <w:pPr>
        <w:jc w:val="center"/>
      </w:pPr>
      <w:r>
        <w:rPr>
          <w:sz w:val="18"/>
          <w:szCs w:val="18"/>
          <w:b w:val="1"/>
          <w:bCs w:val="1"/>
        </w:rPr>
        <w:t xml:space="preserve">Sílabo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Información general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Datos de la asignatura: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Escuela Profesional	: Higiene y Seguridad Industrial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Departamento Académico	: Seguridad y Gestión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Plan de Estudio	: 2018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Asignatura	: Mecánica de Materiales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Código	: EC-222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Ciclo	: 5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Créditos	: 4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horas por ciclo	: 80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N° de horas semanales	: 5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Pre-Requisito	: MA153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Tipo de asignatura	: Obligatorio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Modalidad	: Presencial 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Periodo Académico	: 2025-2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Datos de docentes: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Docente Responsable	: Mg. Ing. WILLIAM CESAR SANTOS TELLO (william.santos.t@uni.edu.pe)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Jefe de prácticas	: No aplica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Asistente de cátedra	: No aplica</w:t>
      </w:r>
    </w:p>
    <w:p>
      <w:pPr>
        <w:ind w:left="425" w:right="0" w:firstLine="0" w:hanging="0"/>
        <w:spacing w:after="0"/>
        <w:tabs>
          <w:tab w:val="left" w:leader="none" w:pos="2900"/>
        </w:tabs>
      </w:pPr>
      <w:r>
        <w:rPr>
          <w:rFonts w:ascii="Arial" w:hAnsi="Arial" w:eastAsia="Arial" w:cs="Arial"/>
          <w:sz w:val="18"/>
          <w:szCs w:val="18"/>
        </w:rPr>
        <w:t xml:space="preserve">Ayudante de cátedra	: No aplica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Sumilla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</w:rPr>
        <w:t xml:space="preserve">Asignatura teórico - práctico, aborda los principios fundamentales de la mecánica de materiales, enfocados en el análisis y diseño de elementos estructurales sometidos a diversas solicitaciones. Se estudian conceptos clave como esfuerzo, deformación y comportamiento elástico y plástico de los materiales, así como la energía de deformación y cargas de impacto. Se profundiza en la flexión y deflexión de vigas, torsión de ejes, y estabilidad de columnas mediante la aplicación de la fórmula de Euler y métodos de energía. Además, se desarrollan habilidades para analizar transformaciones de esfuerzos, esfuerzos principales y el uso del círculo de Mohr. El curso proporciona herramientas para evaluar la resistencia y estabilidad de estructuras mediante el análisis de cargas, momentos y condiciones de equilibrio, con énfasis en la aplicación práctica y teórica para el diseño seguro y eficiente de sistemas mecánicos y estructurales.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Competencias genéricas del perfil de egreso a las que aporta a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abstracción, análisis y síntesis para decidir y actuar con ética y juicio propio en la identificación, desarrollo y aplicación de medidas que permitan resolver los conflictos propios de la interacción del estado, los empleadores y el trabajador.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investigación, innovación y desarrollo tecnológico para lograr soluciones ecoeficientes para el desarrollo industrial.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de aplicar sus conocimientos teóricos prácticos para el desarrollo estratégico de medidas de higiene, seguridad y ergonómicas para la protección de los trabajadores, del sistema productivo y del ambiente laboral.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el desarrollo de proyectos de ingeniería que permitan mejorar las condiciones de trabajo, la productividad y competitividad industrial.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Habilidad para comunicar y propender a la prevención de riesgos asociados a la aplicación de políticas, planes y proyectos del desarrollo.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informar, comunicar y educar a grupos humanos a nivel de las comunidades, los trabajadores y los dirigentes empresariales o las instituciones de gobierno sobre los principios y orientaciones estratégicas y programáticas de la higiene y seguridad en el desarrollo sostenible.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Responsabilidad social que le permite participar activamente en los procesos de desarrollo de los trabajadores.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desarrollar políticas de salud ocupacional que faciliten el desarrollo social del país.</w:t>
      </w:r>
    </w:p>
    <w:p>
      <w:pPr>
        <w:jc w:val="both"/>
        <w:spacing w:after="0"/>
        <w:numPr>
          <w:ilvl w:val="0"/>
          <w:numId w:val="2"/>
        </w:numPr>
      </w:pPr>
      <w:r>
        <w:rPr>
          <w:rFonts w:ascii="Arial" w:hAnsi="Arial" w:eastAsia="Arial" w:cs="Arial"/>
          <w:sz w:val="18"/>
          <w:szCs w:val="18"/>
        </w:rPr>
        <w:t xml:space="preserve">Capacidad para el auto aprendizaje y la innovación para lograr una permanente actualización de conocimientos consecuentes con la dinámica del desarrollo.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Resultados de aprendizaje de la asignatura (competencias de egreso de la asignatura).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Aplica los principios fundamentales de la estática para analizar fuerzas y momentos en partículas y cuerpos rígidos, resolver sistemas de fuerzas y determinar condiciones de equilibrio, con el fin de garantizar la estabilidad y seguridad en estructuras y sistemas mecánicos.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Comprende y aplica los conceptos de esfuerzo y deformación en materiales, interpreta diagramas esfuerzo-deformación, y analiza el comportamiento elástico y plástico de los materiales para evaluar su respuesta bajo diferentes condiciones de carga.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Analiza el comportamiento de vigas sometidas a flexión, calcula esfuerzos y deformaciones, aplica la ecuación de la curva elástica para determinar deflexiones, y resuelve casos de vigas estáticamente determinadas e indeterminadas, con el fin de diseñar y evaluar estructuras resistentes y seguras.</w:t>
      </w:r>
    </w:p>
    <w:p>
      <w:pPr>
        <w:jc w:val="both"/>
        <w:spacing w:after="0"/>
        <w:numPr>
          <w:ilvl w:val="0"/>
          <w:numId w:val="3"/>
        </w:numPr>
      </w:pPr>
      <w:r>
        <w:rPr>
          <w:rFonts w:ascii="Arial" w:hAnsi="Arial" w:eastAsia="Arial" w:cs="Arial"/>
          <w:sz w:val="18"/>
          <w:szCs w:val="18"/>
        </w:rPr>
        <w:t xml:space="preserve">Analiza la estabilidad de columnas bajo diferentes condiciones de apoyo utilizando la fórmula de Euler y sus extensiones, así como aplica métodos de energía para resolver problemas de deformación y estabilidad en estructuras, con el fin de diseñar elementos estructurales seguros y eficientes.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Unidades de aprendizaje.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1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Estática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Aplica los principios fundamentales de la estática para analizar fuerzas y momentos en partículas y cuerpos rígidos, resolver sistemas de fuerzas y determinar condiciones de equilibrio, con el fin de garantizar la estabilidad y seguridad en estructuras y sistemas mecánicos.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HP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Equilibrio de una partícula
Resultantes de sistemas de fuerzas
Equilibrio de un cuerpo rígido.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Analizar y determina las resultantes de sistemas de fuerzas, aplica las condiciones de equilibrio para partículas y cuerpos rígidos, y resuelve problemas estáticos que involucren fuerzas concurrentes y no concurrentes para garantizar la estabilidad de estructuras y sistemas mecánicos.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Principio de momentos 
Momento de una fuerza.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Aplica el principio de momentos para calcular el momento de una fuerza respecto a un punto o eje, utilizando estos conceptos para analizar y resolver problemas de equilibrio estático en sistemas mecánicos y estructurales.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Centro de gravedad, centro de masa
y el centroide de un cuerpo.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Identifica y calcula el centro de gravedad, centro de masa y centroide de cuerpos geométricos y estructuras, aplicando métodos analíticos y gráficos para resolver problemas relacionados con el equilibrio y estabilidad de sistemas físicos.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4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 la primera practica calificada y avance de proyecto.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1.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Exámenes, maquetas.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2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Esfuerzo y deformación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Comprende y aplica los conceptos de esfuerzo y deformación en materiales, interpreta diagramas esfuerzo-deformación, y analiza el comportamiento elástico y plástico de los materiales para evaluar su respuesta bajo diferentes condiciones de carga.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HP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5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concepto de esfuerzo
Diagrama esfuerzo deformación
Comportamiento elástico contra comportamiento plástico de un
materia.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Comprende el concepto de esfuerzo y analiza diagramas esfuerzo-deformación, diferenciando entre el comportamiento elástico y plástico de los materiales, con el fin de interpretar su respuesta bajo cargas y aplicar estos conocimientos en el diseño y análisis de materiales estructurales.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6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Torsión
Deformaciones en un eje circular
Ejes estáticamente indeterminados.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Analiza los efectos de la torsión en ejes circulares, calcula las deformaciones generadas y resuelve problemas relacionados con ejes estáticamente indeterminados, aplicando principios de la mecánica de materiales para garantizar el diseño seguro y eficiente de componentes sometidos a torsión.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7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 la segunda practica calificada y avance de proyecto.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2.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del Examen Parcial.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1 y 2.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Exámenes, maquetas.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3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Flexión y Deflexión de vigas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Analiza el comportamiento de vigas sometidas a flexión, calcula esfuerzos y deformaciones, aplica la ecuación de la curva elástica para determinar deflexiones, y resuelve casos de vigas estáticamente determinadas e indeterminadas, con el fin de diseñar y evaluar estructuras resistentes y seguras.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HP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9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Elemento simétrico sometido a flexión
pura
Deformaciones en un elemento simétrico
sometido a flexión pura
Esfuerzos y deformaciones en el rango elástico.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Analiza el comportamiento de elementos estructurales simétricos sometidos a flexión pura, determinar las deformaciones resultantes dentro del rango elástico y establecer la relación entre esfuerzos y deformaciones, aplicando los principios de la mecánica de materiales para evaluar el diseño y la resistencia de componentes estructurales.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10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Transformaciones de esfuerzos y deformaciones
Esfuerzos principales. Esfuerzo cortante máximo
Círculo de Mohr para esfuerzo plano
Estado general de esfuerzos.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Analiza transformaciones de esfuerzos y deformaciones en materiales sometidos a diferentes estados de carga, determina esfuerzos principales y esfuerzos cortantes máximos, interpreta y construye el círculo de Mohr para esfuerzo plano, y evalua el estado general de esfuerzos, con el fin de predecir el comportamiento mecánico de los materiales y apoyar decisiones de diseño estructural.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11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Deflexión de vigas
Deformación de una viga bajo carga transversal 
Ecuación de la curva elástica
Vigas estáticamente indeterminadas.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Analiza la deflexión y deformación de vigas sometidas a cargas transversales, aplica la ecuación de la curva elástica para determinar desplazamientos y pendientes, y resolver vigas estáticamente indeterminadas utilizando métodos adecuados, con el fin de evaluar el comportamiento estructural y garantizar la integridad de los sistemas mecánicos y estructurales.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 la tercera practica calificada y avance de proyecto.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3.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Exámenes, maquetas.</w:t>
            </w:r>
          </w:p>
        </w:tc>
      </w:tr>
    </w:tbl>
    <w:tbl>
      <w:tblGrid>
        <w:gridCol w:w="800" w:type="dxa"/>
        <w:gridCol w:w="737" w:type="dxa"/>
        <w:gridCol w:w="2400" w:type="dxa"/>
        <w:gridCol w:w="374" w:type="dxa"/>
        <w:gridCol w:w="374" w:type="dxa"/>
        <w:gridCol w:w="3832" w:type="dxa"/>
        <w:gridCol w:w="199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76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Unidad 4</w:t>
            </w:r>
          </w:p>
        </w:tc>
        <w:tc>
          <w:tcPr>
            <w:tcW w:w="9000" w:type="dxa"/>
            <w:vAlign w:val="center"/>
            <w:shd w:val="clear" w:fill="860000"/>
            <w:gridSpan w:val="6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Título de la unidad: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Columnas y Métodos de Energía</w:t>
            </w:r>
            <w:br/>
            <w:r>
              <w:rPr>
                <w:rFonts w:ascii="Arial" w:hAnsi="Arial" w:eastAsia="Arial" w:cs="Arial"/>
                <w:color w:val="FFFFFF"/>
                <w:sz w:val="15"/>
                <w:szCs w:val="15"/>
                <w:b w:val="1"/>
                <w:bCs w:val="1"/>
              </w:rPr>
              <w:t xml:space="preserve">Resultado de aprendizaje: </w:t>
            </w:r>
            <w:r>
              <w:rPr>
                <w:rFonts w:ascii="Arial" w:hAnsi="Arial" w:eastAsia="Arial" w:cs="Arial"/>
                <w:color w:val="FFFFFF"/>
                <w:sz w:val="15"/>
                <w:szCs w:val="15"/>
              </w:rPr>
              <w:t xml:space="preserve">Analiza la estabilidad de columnas bajo diferentes condiciones de apoyo utilizando la fórmula de Euler y sus extensiones, así como aplica métodos de energía para resolver problemas de deformación y estabilidad en estructuras, con el fin de diseñar elementos estructurales seguros y eficientes.</w:t>
            </w:r>
          </w:p>
        </w:tc>
      </w:tr>
      <w:tr>
        <w:trPr/>
        <w:tc>
          <w:tcPr>
            <w:tcW w:w="8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Semana</w:t>
            </w:r>
          </w:p>
        </w:tc>
        <w:tc>
          <w:tcPr>
            <w:tcW w:w="737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Sesión</w:t>
            </w:r>
          </w:p>
        </w:tc>
        <w:tc>
          <w:tcPr>
            <w:tcW w:w="240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Contenido temático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HT</w:t>
            </w:r>
          </w:p>
        </w:tc>
        <w:tc>
          <w:tcPr>
            <w:tcW w:w="374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HP</w:t>
            </w:r>
          </w:p>
        </w:tc>
        <w:tc>
          <w:tcPr>
            <w:tcW w:w="3832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Indicadores de logro de aprendizaje</w:t>
            </w:r>
          </w:p>
        </w:tc>
        <w:tc>
          <w:tcPr>
            <w:tcW w:w="1990" w:type="dxa"/>
            <w:vAlign w:val="center"/>
            <w:shd w:val="clear" w:fill="D0CECE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000000"/>
                <w:sz w:val="15"/>
                <w:szCs w:val="15"/>
                <w:b w:val="1"/>
                <w:bCs w:val="1"/>
              </w:rPr>
              <w:t xml:space="preserve">Estrategias didácticas y recursos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13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Estabilidad de estructuras
Fórmula de Euler para columnas articuladas
Extensión de la fórmula de Euler para columnas
con otras condiciones de extremo.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Analiza la estabilidad de estructuras sometidas a compresión, aplica la fórmula de Euler para determinar la carga crítica en columnas articuladas, y extender su uso a columnas con diferentes condiciones de apoyo, con el fin de evaluar el comportamiento estructural y prevenir fallas por pandeo.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14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Energía de deformación
Densidad de energía de deformación
Cargas de impacto
Diseño para cargas de impacto.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Analiza la energía de deformación y su densidad en materiales sometidos a esfuerzos, evalua el comportamiento de estructuras frente a cargas de impacto y aplica criterios de diseño adecuados para garantizar la resistencia y seguridad de los elementos estructurales ante este tipo de solicitaciones.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Interactiva: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15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 la cuarta practica calificada y avance de proyecto.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4.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8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16</w:t>
            </w:r>
          </w:p>
        </w:tc>
        <w:tc>
          <w:tcPr>
            <w:tcW w:w="737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</w:t>
            </w:r>
          </w:p>
        </w:tc>
        <w:tc>
          <w:tcPr>
            <w:tcW w:w="2400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Evaluación del Examen Final.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3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2</w:t>
            </w:r>
          </w:p>
        </w:tc>
        <w:tc>
          <w:tcPr>
            <w:tcW w:w="3832" w:type="dxa"/>
            <w:noWrap/>
          </w:tcPr>
          <w:p>
            <w:pPr>
              <w:jc w:val="both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El estudiante asimila los temas de la unidad 3 y 4.</w:t>
            </w:r>
          </w:p>
        </w:tc>
        <w:tc>
          <w:tcPr>
            <w:tcW w:w="199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Aprendizaje Experiencial: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Recursos multimedia, pizarra entre otros</w:t>
            </w:r>
          </w:p>
        </w:tc>
      </w:tr>
      <w:tr>
        <w:trPr/>
        <w:tc>
          <w:tcPr>
            <w:tcW w:w="2995" w:type="dxa"/>
            <w:gridSpan w:val="3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  <w:b w:val="1"/>
                <w:bCs w:val="1"/>
              </w:rPr>
              <w:t xml:space="preserve">Total de horas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12</w:t>
            </w:r>
          </w:p>
        </w:tc>
        <w:tc>
          <w:tcPr>
            <w:tcW w:w="374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8</w:t>
            </w:r>
          </w:p>
        </w:tc>
        <w:tc>
          <w:tcPr>
            <w:tcW w:w="5125" w:type="dxa"/>
            <w:gridSpan w:val="2"/>
            <w:noWrap/>
          </w:tcPr>
          <w:p>
            <w:pPr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 </w:t>
            </w:r>
          </w:p>
        </w:tc>
      </w:tr>
      <w:tr>
        <w:trPr/>
        <w:tc>
          <w:tcPr>
            <w:tcW w:w="11341" w:type="dxa"/>
            <w:gridSpan w:val="7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5"/>
                <w:szCs w:val="15"/>
              </w:rPr>
              <w:t xml:space="preserve">Evidencias:</w:t>
            </w:r>
            <w:br/>
            <w:r>
              <w:rPr>
                <w:rFonts w:ascii="Arial" w:hAnsi="Arial" w:eastAsia="Arial" w:cs="Arial"/>
                <w:sz w:val="15"/>
                <w:szCs w:val="15"/>
              </w:rPr>
              <w:t xml:space="preserve">Exámenes, maquetas.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Metodología de aprendizaje.</w:t>
      </w:r>
    </w:p>
    <w:tbl>
      <w:tblGrid>
        <w:gridCol w:w="3000" w:type="dxa"/>
        <w:gridCol w:w="800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Estrategias</w:t>
            </w:r>
          </w:p>
        </w:tc>
        <w:tc>
          <w:tcPr>
            <w:tcW w:w="8000" w:type="dxa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Metodologías</w:t>
            </w:r>
          </w:p>
        </w:tc>
      </w:tr>
      <w:tr>
        <w:trPr/>
        <w:tc>
          <w:tcPr>
            <w:tcW w:w="30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Interactiva</w:t>
            </w:r>
          </w:p>
        </w:tc>
        <w:tc>
          <w:tcPr>
            <w:tcW w:w="800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Interacción dinámica</w:t>
            </w:r>
          </w:p>
        </w:tc>
      </w:tr>
      <w:tr>
        <w:trPr/>
        <w:tc>
          <w:tcPr>
            <w:tcW w:w="3000" w:type="dxa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Aprendizaje Experiencial</w:t>
            </w:r>
          </w:p>
        </w:tc>
        <w:tc>
          <w:tcPr>
            <w:tcW w:w="8000" w:type="dxa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Desarrollo de trabajo aplicativo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Recursos para el desarrollo de la asignatura.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Recursos multimedia, pizarra entre otros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Sistema de evaluación.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tbl>
      <w:tblGrid>
        <w:gridCol w:w="1800" w:type="dxa"/>
        <w:gridCol w:w="2300" w:type="dxa"/>
        <w:gridCol w:w="2700" w:type="dxa"/>
        <w:gridCol w:w="3500" w:type="dxa"/>
        <w:gridCol w:w="1800" w:type="dxa"/>
      </w:tblGrid>
      <w:tblPr>
        <w:jc w:val="start"/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8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Sistema/ Subsistema</w:t>
            </w:r>
          </w:p>
        </w:tc>
        <w:tc>
          <w:tcPr>
            <w:tcW w:w="23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Prueba de Evaluación</w:t>
            </w:r>
          </w:p>
        </w:tc>
        <w:tc>
          <w:tcPr>
            <w:tcW w:w="27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Peso sobre la nota final de la asignatura (Porcentaje)</w:t>
            </w:r>
          </w:p>
        </w:tc>
        <w:tc>
          <w:tcPr>
            <w:tcW w:w="35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Descripción</w:t>
            </w:r>
          </w:p>
        </w:tc>
        <w:tc>
          <w:tcPr>
            <w:tcW w:w="1800" w:type="dxa"/>
            <w:vAlign w:val="center"/>
            <w:shd w:val="clear" w:fill="860000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  <w:b w:val="1"/>
                <w:bCs w:val="1"/>
              </w:rPr>
              <w:t xml:space="preserve">Semana de evaluación</w:t>
            </w:r>
          </w:p>
        </w:tc>
      </w:tr>
      <w:tr>
        <w:trPr/>
        <w:tc>
          <w:tcPr>
            <w:tcW w:w="1800" w:type="dxa"/>
            <w:vAlign w:val="center"/>
            <w:vMerge w:val="restart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F</w:t>
            </w:r>
          </w:p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Examen Parcial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25 %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Examen desarrollado en aula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Evaluación parcial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8</w:t>
            </w:r>
          </w:p>
        </w:tc>
      </w:tr>
      <w:tr>
        <w:trPr/>
        <w:tc>
          <w:tcPr>
            <w:tcW w:w="1800" w:type="dxa"/>
            <w:vMerge w:val="continue"/>
            <w:noWrap/>
          </w:tcPr>
          <w:p/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Examen Final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50 %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Examen desarrollado en aula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Evaluación final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16</w:t>
            </w:r>
          </w:p>
        </w:tc>
      </w:tr>
      <w:tr>
        <w:trPr/>
        <w:tc>
          <w:tcPr>
            <w:tcW w:w="1800" w:type="dxa"/>
            <w:vMerge w:val="continue"/>
            <w:noWrap/>
          </w:tcPr>
          <w:p/>
        </w:tc>
        <w:tc>
          <w:tcPr>
            <w:tcW w:w="23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Promedio de prácticas o trabajos calificados</w:t>
            </w:r>
          </w:p>
        </w:tc>
        <w:tc>
          <w:tcPr>
            <w:tcW w:w="27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25 %</w:t>
            </w:r>
          </w:p>
        </w:tc>
        <w:tc>
          <w:tcPr>
            <w:tcW w:w="3500" w:type="dxa"/>
            <w:vAlign w:val="center"/>
            <w:noWrap/>
          </w:tcPr>
          <w:p>
            <w:pPr>
              <w:jc w:val="left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Actividad: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Cuatro prácticas desarrolladas en clase y desarrollo de un proyecto.</w:t>
            </w:r>
            <w:br/>
            <w:r>
              <w:rPr>
                <w:rFonts w:ascii="Arial" w:hAnsi="Arial" w:eastAsia="Arial" w:cs="Arial"/>
                <w:sz w:val="18"/>
                <w:szCs w:val="18"/>
                <w:b w:val="1"/>
                <w:bCs w:val="1"/>
              </w:rPr>
              <w:t xml:space="preserve">Evidencia: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Cuatro prácticas y desarrollo de un proyecto.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4,7,12 y 15</w:t>
            </w:r>
          </w:p>
        </w:tc>
      </w:tr>
    </w:tbl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Referencias bibliográficas.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  <w:i w:val="1"/>
          <w:iCs w:val="1"/>
        </w:rPr>
        <w:t xml:space="preserve">Obligatorias: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Beer, F. P., Johnston, E. R. (2015). Mecánica de materiales (7ma ed.). McGraw-Hill.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jc w:val="both"/>
        <w:ind w:left="425" w:right="0" w:firstLine="0" w:hanging="0"/>
        <w:spacing w:after="0"/>
      </w:pPr>
      <w:r>
        <w:rPr>
          <w:rFonts w:ascii="Arial" w:hAnsi="Arial" w:eastAsia="Arial" w:cs="Arial"/>
          <w:sz w:val="18"/>
          <w:szCs w:val="18"/>
          <w:b w:val="1"/>
          <w:bCs w:val="1"/>
          <w:i w:val="1"/>
          <w:iCs w:val="1"/>
        </w:rPr>
        <w:t xml:space="preserve">Complementarias: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Hibbeler, R. C. (2013). Mechanics of materials (9th ed.). Prentice Hall.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Gere, J. M., Goodno, B. G. (2013). Mechanics of materials (8th ed.). Cengage Learning.</w:t>
      </w:r>
    </w:p>
    <w:p>
      <w:pPr>
        <w:jc w:val="both"/>
        <w:spacing w:after="0"/>
        <w:numPr>
          <w:ilvl w:val="0"/>
          <w:numId w:val="4"/>
        </w:numPr>
      </w:pPr>
      <w:r>
        <w:rPr>
          <w:rFonts w:ascii="Arial" w:hAnsi="Arial" w:eastAsia="Arial" w:cs="Arial"/>
          <w:sz w:val="18"/>
          <w:szCs w:val="18"/>
        </w:rPr>
        <w:t xml:space="preserve">Meriam, J. L., Kraige, L. G. (2020). Engineering mechanics: Statics (9th ed., SI version). John Wiley and Sons.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>
      <w:pPr>
        <w:spacing w:after="0"/>
        <w:numPr>
          <w:ilvl w:val="0"/>
          <w:numId w:val="1"/>
        </w:numPr>
      </w:pPr>
      <w:r>
        <w:rPr>
          <w:rFonts w:ascii="Arial" w:hAnsi="Arial" w:eastAsia="Arial" w:cs="Arial"/>
          <w:sz w:val="18"/>
          <w:szCs w:val="18"/>
          <w:b w:val="1"/>
          <w:bCs w:val="1"/>
        </w:rPr>
        <w:t xml:space="preserve">Anexos.</w:t>
      </w:r>
    </w:p>
    <w:p>
      <w:pPr>
        <w:ind w:left="425" w:right="0" w:firstLine="0" w:hanging="0"/>
        <w:spacing w:before="0" w:after="0"/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9B1D0"/>
    <w:multiLevelType w:val="multilevel"/>
    <w:lvl w:ilvl="0">
      <w:start w:val="1"/>
      <w:numFmt w:val="upperRoman"/>
      <w:suff w:val="tab"/>
      <w:lvlText w:val="%1."/>
      <w:lvlJc w:val="left"/>
      <w:pPr>
        <w:tabs>
          <w:tab w:val="num"/>
        </w:tabs>
        <w:ind w:left="425" w:hanging="360"/>
      </w:pPr>
      <w:rPr>
        <w:rFonts/>
      </w:rPr>
    </w:lvl>
  </w:abstractNum>
  <w:abstractNum w:abstractNumId="2">
    <w:nsid w:val="D40B885D"/>
    <w:multiLevelType w:val="single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200"/>
      </w:pPr>
      <w:rPr>
        <w:rFonts/>
      </w:rPr>
    </w:lvl>
  </w:abstractNum>
  <w:abstractNum w:abstractNumId="3">
    <w:nsid w:val="5ECB2B52"/>
    <w:multiLevelType w:val="single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200"/>
      </w:pPr>
      <w:rPr>
        <w:rFonts/>
      </w:rPr>
    </w:lvl>
  </w:abstractNum>
  <w:abstractNum w:abstractNumId="4">
    <w:nsid w:val="A2F938A8"/>
    <w:multiLevelType w:val="singleLevel"/>
    <w:lvl w:ilvl="0">
      <w:start w:val="1"/>
      <w:numFmt w:val="bullet"/>
      <w:suff w:val="tab"/>
      <w:lvlText w:val="•"/>
      <w:pPr>
        <w:tabs>
          <w:tab w:val="num" w:pos="750"/>
        </w:tabs>
        <w:ind w:left="750" w:hanging="30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P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18"/>
        <w:szCs w:val="18"/>
        <w:lang w:val="es-P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2025-12-02T08:01:46-08:00</dcterms:created>
  <dcterms:modified xsi:type="dcterms:W3CDTF">2025-12-02T08:01:46-08:00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